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style59"/>
        <w:jc w:val="right"/>
      </w:pPr>
      <w:r>
        <w:rPr>
          <w:rFonts w:ascii="Times New Roman" w:cs="Times New Roman" w:hAnsi="Times New Roman"/>
          <w:sz w:val="22"/>
          <w:szCs w:val="22"/>
        </w:rPr>
        <w:t xml:space="preserve">Gałków Duży, dnia 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>10.12.2014r.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</w:rPr>
        <w:t>Nr sprawy: ZP. POKL.AMC.</w:t>
      </w:r>
      <w:r>
        <w:rPr>
          <w:rFonts w:ascii="Times New Roman" w:cs="Times New Roman" w:hAnsi="Times New Roman"/>
          <w:b w:val="false"/>
          <w:shd w:fill="FFFFFF" w:val="clear"/>
        </w:rPr>
        <w:t>35</w:t>
      </w:r>
      <w:r>
        <w:rPr>
          <w:rFonts w:ascii="Times New Roman" w:cs="Times New Roman" w:hAnsi="Times New Roman"/>
          <w:b w:val="false"/>
        </w:rPr>
        <w:t>.2014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  <w:color w:val="FF0000"/>
        </w:rPr>
      </w:r>
    </w:p>
    <w:p>
      <w:pPr>
        <w:pStyle w:val="style60"/>
        <w:jc w:val="left"/>
      </w:pPr>
      <w:r>
        <w:rPr>
          <w:rFonts w:ascii="Times New Roman" w:cs="Times New Roman" w:hAnsi="Times New Roman"/>
        </w:rPr>
        <w:t>Nazwa i adres Zamawiającego: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</w:rPr>
        <w:t>Szkola Podstawowa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</w:rPr>
        <w:t>w Zespole Szkół w Gałkowie Dużym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</w:rPr>
        <w:t>ul. Dzieci Polskich 14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</w:rPr>
        <w:t>95-041 Gałków Duży</w:t>
      </w:r>
    </w:p>
    <w:p>
      <w:pPr>
        <w:pStyle w:val="style60"/>
        <w:jc w:val="left"/>
      </w:pPr>
      <w:r>
        <w:rPr>
          <w:rFonts w:ascii="Times New Roman" w:cs="Times New Roman" w:hAnsi="Times New Roman"/>
          <w:b w:val="false"/>
        </w:rPr>
        <w:t>tel./fax. 44 714 58 43</w:t>
      </w:r>
    </w:p>
    <w:p>
      <w:pPr>
        <w:pStyle w:val="style60"/>
      </w:pPr>
      <w:r>
        <w:rPr>
          <w:rFonts w:ascii="Times New Roman" w:cs="Times New Roman" w:hAnsi="Times New Roman"/>
        </w:rPr>
      </w:r>
    </w:p>
    <w:p>
      <w:pPr>
        <w:pStyle w:val="style60"/>
      </w:pPr>
      <w:r>
        <w:rPr>
          <w:rFonts w:ascii="Times New Roman" w:cs="Times New Roman" w:hAnsi="Times New Roman"/>
        </w:rPr>
      </w:r>
    </w:p>
    <w:p>
      <w:pPr>
        <w:pStyle w:val="style60"/>
      </w:pPr>
      <w:r>
        <w:rPr>
          <w:rFonts w:ascii="Times New Roman" w:cs="Times New Roman" w:hAnsi="Times New Roman"/>
        </w:rPr>
      </w:r>
    </w:p>
    <w:p>
      <w:pPr>
        <w:pStyle w:val="style60"/>
      </w:pPr>
      <w:r>
        <w:rPr>
          <w:rFonts w:ascii="Times New Roman" w:cs="Times New Roman" w:hAnsi="Times New Roman"/>
        </w:rPr>
        <w:t>Zapytanie cenowe dla zamówienia publicznego</w:t>
        <w:br/>
        <w:t>o wartości nieprzekraczającej równowartości 30 000 euro</w:t>
      </w:r>
    </w:p>
    <w:p>
      <w:pPr>
        <w:pStyle w:val="style60"/>
      </w:pPr>
      <w:r>
        <w:rPr>
          <w:rFonts w:ascii="Times New Roman" w:cs="Times New Roman" w:hAnsi="Times New Roman"/>
        </w:rPr>
      </w:r>
    </w:p>
    <w:p>
      <w:pPr>
        <w:pStyle w:val="style57"/>
      </w:pPr>
      <w:r>
        <w:rPr>
          <w:rFonts w:ascii="Times New Roman" w:cs="Times New Roman" w:hAnsi="Times New Roman"/>
          <w:b/>
          <w:sz w:val="22"/>
          <w:szCs w:val="22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W związku z prowadzonym postępowaniem o udzielenie zamówienia publicznego o wartości nieprzekraczającej równowartości 30 000 euro oraz w związku z realizacją przez Szkołę Podstawową  w Zespole Szkół w Gałkowie Dużym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>„Akademia Mądrego Człowieka”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późn,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dostawę materiałów do programów edukacyjnych dla uczniów Szkoły Podstawowej z Zespołu Szkół w Galkowie Dużym.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u w:val="single"/>
        </w:rPr>
        <w:t>I. Przedmiot zamówienia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hAnsi="Times New Roman"/>
          <w:b/>
        </w:rPr>
        <w:t>1. Przedmiot zamówienia</w:t>
      </w:r>
    </w:p>
    <w:p>
      <w:pPr>
        <w:pStyle w:val="style61"/>
        <w:numPr>
          <w:ilvl w:val="0"/>
          <w:numId w:val="6"/>
        </w:numPr>
        <w:tabs>
          <w:tab w:leader="none" w:pos="0" w:val="left"/>
          <w:tab w:leader="none" w:pos="360" w:val="left"/>
        </w:tabs>
        <w:spacing w:after="0" w:before="0"/>
        <w:ind w:hanging="360" w:left="0" w:right="0"/>
        <w:contextualSpacing w:val="false"/>
        <w:jc w:val="both"/>
      </w:pPr>
      <w:r>
        <w:rPr>
          <w:b/>
          <w:sz w:val="22"/>
          <w:szCs w:val="22"/>
        </w:rPr>
        <w:t>Zadanie 1- Dostawa 140 podręczników i materiałów do zajęć edukacyjnych dla uczniów  uczestniczących w projekcie „Akademia Mądrego człowieka” do realizacji programu „Mądre Dziecko”/”Uczeń z Charakterem” lub równoważnego, zaproponowanego przez wykonawcę</w:t>
      </w:r>
      <w:r>
        <w:rPr>
          <w:sz w:val="22"/>
          <w:szCs w:val="22"/>
        </w:rPr>
        <w:t xml:space="preserve">. 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Szczegółowy  opis materiałów: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Materiały dydaktyczne muszą być oparte na metodzie czytania globalnego, Glena Domana, oraz zgodne z metodyką Weroniki Sherborne i Indywidualnymi Wzorcami Myślowymi (IWM) lub równoważne. Muszą zawierać nowoczesne techniki edukacyjne (nielinearne notowanie, techniki pamięciowe) ukierunkowane na budowanie i/lub rozwój umiejętności uczenia się, sprawnego czytania ze zrozumieniem oraz rozwijanie logicznego myślenia i motywujące do nauki. Muszą też zawierać eksperymenty (z fizyki, chemii), gry dydaktyczne, dramy, misje i procedury psychologiczne oraz opierać się na fabule gry.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Materiały dydaktyczne muszą komponować się w spójną całość, o zróżnicowanym poziomie trudności, stanowiącą efektywny program nauczania dostosowany do możliwości dzieci w wieku 6-12 lat.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Prezentowany program nauczania może być wzbogacony innymi metodami dydaktycznymi stosowanymi w pedagogice dostosowany do uczniów klas 1-6 szkoły podstawowej.</w:t>
        <w:br/>
        <w:t xml:space="preserve">W przypadku składania programu równoważnego Wykonawca jest zobowiązany przedstawić pisemny opis potwierdzający jednolity program nauczania realizowany w oparciu o oferowane materiały dydaktyczne. 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Każdy zestaw materiałów dla ucznia zawiera: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Podręcznik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materiały metodyczne ucznia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testy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formularze ćwiczeniowe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kolorowy segregator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zestaw 10 kości do poszerzania pola widzenia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komplet 5 wskaźników do treningu czytania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kółeczka do synchronizacji półkul mózgowych</w:t>
      </w:r>
    </w:p>
    <w:p>
      <w:pPr>
        <w:pStyle w:val="style61"/>
        <w:numPr>
          <w:ilvl w:val="0"/>
          <w:numId w:val="4"/>
        </w:numPr>
        <w:tabs>
          <w:tab w:leader="none" w:pos="1060" w:val="left"/>
        </w:tabs>
        <w:spacing w:after="0" w:before="0"/>
        <w:contextualSpacing w:val="false"/>
      </w:pPr>
      <w:r>
        <w:rPr>
          <w:sz w:val="22"/>
          <w:szCs w:val="22"/>
        </w:rPr>
        <w:t>licencja za korzystanie z autorskiego programu „Mądre Dziecko”, „Uczeń z Charakterem” lub równoważne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</w:r>
    </w:p>
    <w:p>
      <w:pPr>
        <w:pStyle w:val="style61"/>
        <w:numPr>
          <w:ilvl w:val="0"/>
          <w:numId w:val="6"/>
        </w:numPr>
        <w:tabs>
          <w:tab w:leader="none" w:pos="360" w:val="left"/>
        </w:tabs>
        <w:spacing w:after="0" w:before="0"/>
        <w:ind w:hanging="360" w:left="0" w:right="0"/>
        <w:contextualSpacing w:val="false"/>
      </w:pPr>
      <w:r>
        <w:rPr>
          <w:b/>
          <w:sz w:val="22"/>
          <w:szCs w:val="22"/>
        </w:rPr>
        <w:t xml:space="preserve">Zadanie 2- Dostawa 14 zestawów materiałów dla grup </w:t>
      </w:r>
      <w:r>
        <w:rPr>
          <w:sz w:val="22"/>
          <w:szCs w:val="22"/>
        </w:rPr>
        <w:t>do realizacji zajęć edukacyjnych "Mądre Dziecko" i "Uczeń z Charakterem" lub równoważne.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Każdy zestaw musi zawierać: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 xml:space="preserve">podręcznik 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>formularze ćwiczeniowe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>misje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>testy sprawdzające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>formularze do pracy na zajęciach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>formularze do pracy w domu</w:t>
      </w:r>
    </w:p>
    <w:p>
      <w:pPr>
        <w:pStyle w:val="style43"/>
        <w:numPr>
          <w:ilvl w:val="0"/>
          <w:numId w:val="5"/>
        </w:numPr>
        <w:tabs>
          <w:tab w:leader="none" w:pos="340" w:val="left"/>
        </w:tabs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2"/>
        </w:rPr>
        <w:t>dodatkowy zestaw kości, wskaźników, kółeczek do synchronizacji półkul mózgowych</w:t>
      </w:r>
    </w:p>
    <w:p>
      <w:pPr>
        <w:pStyle w:val="style0"/>
        <w:numPr>
          <w:ilvl w:val="0"/>
          <w:numId w:val="5"/>
        </w:numPr>
        <w:tabs>
          <w:tab w:leader="none" w:pos="340" w:val="left"/>
        </w:tabs>
        <w:suppressAutoHyphens w:val="true"/>
        <w:spacing w:after="0" w:before="0" w:line="100" w:lineRule="atLeast"/>
        <w:contextualSpacing w:val="false"/>
      </w:pPr>
      <w:r>
        <w:rPr>
          <w:rFonts w:ascii="Times New Roman" w:hAnsi="Times New Roman"/>
        </w:rPr>
        <w:t>materiały plastyczne (farby, kartony, pędzle, glina, plastelina, papier kolorowy, kreda, sznurek.)</w:t>
      </w:r>
    </w:p>
    <w:p>
      <w:pPr>
        <w:pStyle w:val="style0"/>
      </w:pPr>
      <w:r>
        <w:rPr>
          <w:rFonts w:ascii="Times New Roman" w:hAnsi="Times New Roman"/>
          <w:b/>
          <w:color w:val="FF0000"/>
        </w:rPr>
      </w:r>
    </w:p>
    <w:p>
      <w:pPr>
        <w:pStyle w:val="style61"/>
        <w:numPr>
          <w:ilvl w:val="0"/>
          <w:numId w:val="6"/>
        </w:numPr>
        <w:tabs>
          <w:tab w:leader="none" w:pos="1080" w:val="left"/>
        </w:tabs>
        <w:spacing w:after="0" w:before="0" w:line="360" w:lineRule="auto"/>
        <w:ind w:hanging="720" w:left="720" w:right="0"/>
        <w:contextualSpacing w:val="false"/>
        <w:jc w:val="both"/>
      </w:pPr>
      <w:r>
        <w:rPr>
          <w:b/>
          <w:sz w:val="22"/>
          <w:szCs w:val="22"/>
        </w:rPr>
        <w:t>Zadanie 3- Dostawa 28 sztuk gry edukacyjnej „Gniew Smoka” dla klas I-VI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hd w:fill="FFFFFF" w:val="clear"/>
        </w:rPr>
        <w:t xml:space="preserve">W przypadku składania materiałów do programów równoważnych Wykonawca jest zobowiązany przedstawić pisemny opis potwierdzający jednolity program nauczania realizowany w oparciu </w:t>
        <w:br/>
        <w:t>o oferowane materiały dydaktyczne. Prezentowany program nauczania może być wzbogacony innymi metodami dydaktycznymi stosowanymi w pedagogice dostosowany do dzieci szkół podstawowych. Dostarczone materiały powinny być nowe i wykonane w ramach bezpiecznej technologii.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hd w:fill="FFFFFF" w:val="clear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hd w:fill="FFFFFF" w:val="clear"/>
          <w:lang w:eastAsia="pl-PL"/>
        </w:rPr>
        <w:t>Materiały dydaktyczne muszą komponować się w spójną całość, stanowiącą efektywny program ze szkoleniem z nowoczesnych technologii i technik edukacyjnych (</w:t>
      </w:r>
      <w:r>
        <w:rPr>
          <w:rFonts w:ascii="Times New Roman" w:hAnsi="Times New Roman"/>
          <w:shd w:fill="FFFFFF" w:val="clear"/>
          <w:lang w:bidi="hi-IN" w:eastAsia="hi-IN"/>
        </w:rPr>
        <w:t>„Mądre Dziecko” oraz „Uczeń z Charakterem”</w:t>
      </w:r>
      <w:r>
        <w:rPr>
          <w:rFonts w:ascii="Times New Roman" w:hAnsi="Times New Roman"/>
          <w:shd w:fill="FFFFFF" w:val="clear"/>
          <w:lang w:eastAsia="pl-PL"/>
        </w:rPr>
        <w:t>) realizowanym w szkole w ramach projektu.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FF0000"/>
          <w:lang w:eastAsia="pl-PL"/>
        </w:rPr>
        <w:b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2. Kod CPV: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39162100-6 – pomoce dydaktyczne;</w:t>
      </w:r>
    </w:p>
    <w:p>
      <w:pPr>
        <w:pStyle w:val="style0"/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hAnsi="Times New Roman"/>
        </w:rPr>
        <w:t>37524100-8 – gry edukacyjne;</w:t>
      </w:r>
    </w:p>
    <w:p>
      <w:pPr>
        <w:pStyle w:val="style0"/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hAnsi="Times New Roman"/>
        </w:rPr>
        <w:t xml:space="preserve">3. Zamawiający nie </w:t>
      </w:r>
      <w:r>
        <w:rPr>
          <w:rFonts w:ascii="Times New Roman" w:hAnsi="Times New Roman"/>
          <w:color w:val="000000"/>
        </w:rPr>
        <w:t xml:space="preserve">dopuszcza składania ofert częściowych. 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Style w:val="style26"/>
          <w:rFonts w:ascii="Times New Roman" w:hAnsi="Times New Roman"/>
        </w:rPr>
        <w:t>4.Wynagrodzenie będzie współfinansowane przez Unię Europejską w ramach Europejskiego Funduszu Społecznego</w:t>
      </w:r>
      <w:r>
        <w:rPr>
          <w:rFonts w:ascii="Times New Roman" w:hAnsi="Times New Roman"/>
        </w:rPr>
        <w:t>.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Cs/>
          <w:lang w:eastAsia="pl-PL"/>
        </w:rPr>
      </w:r>
    </w:p>
    <w:p>
      <w:pPr>
        <w:pStyle w:val="style57"/>
      </w:pPr>
      <w:r>
        <w:rPr>
          <w:rFonts w:ascii="Times New Roman" w:cs="Times New Roman" w:hAnsi="Times New Roman"/>
          <w:sz w:val="22"/>
          <w:szCs w:val="22"/>
        </w:rPr>
        <w:tab/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  <w:t xml:space="preserve">II. Termin realizacji zamówienia: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dni od podpisania umowy.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Cs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b/>
          <w:u w:val="single"/>
        </w:rPr>
        <w:t>IV. Płatności :</w:t>
      </w:r>
    </w:p>
    <w:p>
      <w:pPr>
        <w:pStyle w:val="style0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1. Należność na rzecz Wykonawcy realizowana będzie przelewem z konta Zamawiającego na konto podane na prawidłowo wystawionej fakturze VAT w terminie 14 dni od daty otrzymania oryginału faktury VAT. Podstawą wystawienia faktury będzie protokół odbioru.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  <w:br/>
        <w:t xml:space="preserve">w systemie oświaty, Poddziałanie 9.1.2. Wyrównywanie szans edukacyjnych uczniów z grup </w:t>
        <w:br/>
        <w:t>o utrudnionym dostępie do  edukacji oraz zmniejszenie różnic w jakości usług edukacyjnych Programu Operacyjnego Kapitał Ludzki.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FF0000"/>
        </w:rPr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ascii="Times New Roman" w:hAnsi="Times New Roman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  <w:t>V. Opis sposobu przygotowania oferty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  <w:t xml:space="preserve">1. Oferta powinna być sporządzona czytelnie w języku polskim. </w:t>
      </w:r>
    </w:p>
    <w:p>
      <w:pPr>
        <w:pStyle w:val="style43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>
      <w:pPr>
        <w:pStyle w:val="style43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>3. Cena ofertowa i jednostkowa powinny być podana liczbowo i słownie, powinny obejmować wszystkie koszty i składniki związane z wykonaniem zamówienia, w tym podatek VAT.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  <w:t>4. Cena  oferty  powinna  być  wyrażona  w  walucie  polskiej.</w:t>
      </w:r>
    </w:p>
    <w:p>
      <w:pPr>
        <w:pStyle w:val="style61"/>
        <w:ind w:hanging="0" w:left="0" w:right="0"/>
        <w:jc w:val="both"/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lang w:eastAsia="pl-PL"/>
        </w:rPr>
        <w:t xml:space="preserve">W ofercie należy wskazać cenę brutto: cenę jednostkową i cenę oferty. </w:t>
      </w:r>
      <w:r>
        <w:rPr>
          <w:sz w:val="22"/>
          <w:szCs w:val="22"/>
        </w:rPr>
        <w:t xml:space="preserve">Cenę jednostkową należy przedstawić jako: cenę uwzględniającą całkowity koszt 1 kompletu materiałów. </w:t>
      </w:r>
      <w:r>
        <w:rPr>
          <w:sz w:val="22"/>
          <w:szCs w:val="22"/>
          <w:lang w:eastAsia="pl-PL"/>
        </w:rPr>
        <w:t xml:space="preserve">Cenę oferty należy przedstawić jako: </w:t>
      </w:r>
      <w:r>
        <w:rPr>
          <w:sz w:val="22"/>
          <w:szCs w:val="22"/>
        </w:rPr>
        <w:t>iloczyn ceny jednostkowej uwzględniającej całkowity koszt 1 kompletu materiałów x ilość kompletów, a następnie zsumować cenę za wszystkie zadania.</w:t>
      </w:r>
    </w:p>
    <w:p>
      <w:pPr>
        <w:pStyle w:val="style61"/>
        <w:suppressAutoHyphens w:val="false"/>
        <w:ind w:hanging="0" w:left="0" w:right="0"/>
        <w:jc w:val="both"/>
      </w:pPr>
      <w:r>
        <w:rPr/>
        <w:t xml:space="preserve">6. Podane ceny są wartościami ostatecznymi zawierającymi wszelkie koszty wykonawcy związane z realizacją przedmiotowego zamówienia i nie będą podlegały zwiększeniu w okresie obowiązywania umowy. </w:t>
      </w:r>
    </w:p>
    <w:p>
      <w:pPr>
        <w:pStyle w:val="style61"/>
        <w:suppressAutoHyphens w:val="false"/>
        <w:ind w:hanging="0" w:left="0" w:right="0"/>
        <w:jc w:val="both"/>
      </w:pPr>
      <w:r>
        <w:rPr/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>
      <w:pPr>
        <w:pStyle w:val="style0"/>
        <w:spacing w:after="28" w:before="28" w:line="100" w:lineRule="atLeast"/>
        <w:contextualSpacing/>
        <w:jc w:val="both"/>
      </w:pPr>
      <w:r>
        <w:rPr>
          <w:rFonts w:ascii="Times New Roman" w:hAnsi="Times New Roman"/>
          <w:lang w:eastAsia="pl-PL"/>
        </w:rPr>
        <w:t>7. Każdy Wykonawca może złożyć w niniejszym przetargu tylko jedną ofertę.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/>
          <w:bCs/>
          <w:u w:val="single"/>
        </w:rPr>
        <w:t>VI. Miejsce i termin składania ofert</w:t>
      </w:r>
    </w:p>
    <w:p>
      <w:pPr>
        <w:pStyle w:val="style58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1. Ofertę zawierającą żądane informacje proszę złożyć do dnia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 xml:space="preserve">  17.12.2014r. do godz. 1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>4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>.15.</w:t>
      </w:r>
    </w:p>
    <w:p>
      <w:pPr>
        <w:pStyle w:val="style58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2.Dopuszcza się złożenie oferty: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osobiści, poprzez złożenie w sekretariacie Szkoły Podstawowej w Zespole Szkół w Gałkowie Dużym, ul. Dzieci Polskich 14, 95-041 Gałków Duży lub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- przesłanie pocztą na adres: Szkoły Podstawowej w Zespole Szkół w Gałkowie Dużym, ul. Dzieci Polskich 14, 95-041 Gałków Duży.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3. Ofertę należy złożyć w zaklejonej kopercie lub opakowaniu. Koperta powinna opatrzona napisem: ,,Oferta na dostawę materiałów do programów edukacyjnych dla uczniów Szkoły Podstawowej z Zespołu Szkół w Galkowie Dużym w związku z realizacją projektu „Akademia Mądrego Czlowieka” współfinansowanego ze środków Unii Europejskiej w ramach Europejskiego Funduszu Społecznego oraz "Nie otwierać przed dniem </w:t>
      </w:r>
      <w:r>
        <w:rPr>
          <w:rFonts w:ascii="Times New Roman" w:hAnsi="Times New Roman"/>
          <w:shd w:fill="FFFFFF" w:val="clear"/>
        </w:rPr>
        <w:t>17.12.2014r. do godz.</w:t>
      </w:r>
      <w:r>
        <w:rPr>
          <w:rFonts w:ascii="Times New Roman" w:hAnsi="Times New Roman"/>
          <w:color w:val="FF0000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1</w:t>
      </w:r>
      <w:r>
        <w:rPr>
          <w:rFonts w:ascii="Times New Roman" w:hAnsi="Times New Roman"/>
          <w:shd w:fill="FFFFFF" w:val="clear"/>
        </w:rPr>
        <w:t>4</w:t>
      </w:r>
      <w:r>
        <w:rPr>
          <w:rFonts w:ascii="Times New Roman" w:hAnsi="Times New Roman"/>
          <w:shd w:fill="FFFFFF" w:val="clear"/>
        </w:rPr>
        <w:t>.30"</w:t>
      </w:r>
    </w:p>
    <w:p>
      <w:pPr>
        <w:pStyle w:val="style56"/>
      </w:pPr>
      <w:r>
        <w:rPr>
          <w:rFonts w:ascii="Times New Roman" w:cs="Times New Roman" w:hAnsi="Times New Roman"/>
          <w:sz w:val="22"/>
          <w:szCs w:val="22"/>
        </w:rPr>
        <w:t xml:space="preserve">3. Otwarcie ofert nastąpi 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>17.12.2014r. o godz. 1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>4</w:t>
      </w:r>
      <w:r>
        <w:rPr>
          <w:rFonts w:ascii="Times New Roman" w:cs="Times New Roman" w:hAnsi="Times New Roman"/>
          <w:sz w:val="22"/>
          <w:szCs w:val="22"/>
          <w:shd w:fill="FFFFFF" w:val="clear"/>
        </w:rPr>
        <w:t xml:space="preserve">.30 </w:t>
      </w:r>
      <w:r>
        <w:rPr>
          <w:rFonts w:ascii="Times New Roman" w:cs="Times New Roman" w:hAnsi="Times New Roman"/>
          <w:sz w:val="22"/>
          <w:szCs w:val="22"/>
        </w:rPr>
        <w:t>w gabinecie Dyrektora Zespołu Szkół.</w:t>
      </w:r>
    </w:p>
    <w:p>
      <w:pPr>
        <w:pStyle w:val="style56"/>
      </w:pPr>
      <w:r>
        <w:rPr>
          <w:rFonts w:ascii="Times New Roman" w:cs="Times New Roman" w:hAnsi="Times New Roman"/>
          <w:sz w:val="22"/>
          <w:szCs w:val="22"/>
        </w:rPr>
        <w:t>4. Otwarcie ofert jest jawne.</w:t>
      </w:r>
    </w:p>
    <w:p>
      <w:pPr>
        <w:pStyle w:val="style57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spacing w:after="0" w:before="0" w:line="100" w:lineRule="atLeast"/>
        <w:ind w:hanging="140" w:left="140" w:right="0"/>
        <w:contextualSpacing w:val="false"/>
      </w:pPr>
      <w:r>
        <w:rPr>
          <w:rFonts w:ascii="Times New Roman" w:hAnsi="Times New Roman"/>
          <w:b/>
          <w:u w:val="single"/>
        </w:rPr>
        <w:t>VII. Zapoznanie się z charakterystyką projektu;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w Zespole Szkół w Gałkowie Dużym, ul. Dzieci Polskich 14.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</w:r>
    </w:p>
    <w:p>
      <w:pPr>
        <w:pStyle w:val="style0"/>
        <w:spacing w:after="0" w:before="0"/>
        <w:ind w:hanging="140" w:left="140" w:right="0"/>
        <w:contextualSpacing w:val="false"/>
      </w:pPr>
      <w:r>
        <w:rPr>
          <w:rFonts w:ascii="Times New Roman" w:hAnsi="Times New Roman"/>
          <w:b/>
          <w:u w:val="single"/>
        </w:rPr>
        <w:t xml:space="preserve">VIII.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1. Zgodny ze wzorem formularz oferty.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>
      <w:pPr>
        <w:pStyle w:val="style63"/>
      </w:pPr>
      <w:r>
        <w:rPr>
          <w:rFonts w:ascii="Times New Roman" w:cs="Times New Roman" w:hAnsi="Times New Roman"/>
          <w:sz w:val="22"/>
          <w:szCs w:val="22"/>
        </w:rPr>
        <w:t>3. Dokument lub kopię dokumentu potwierdzającego iż Wykonawca posiada uprawnienia do dystrybucji proponowanych materiałów.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4. Pełnomocnictwo do reprezentowania Wykonawcy, jeżeli zostało ustanowione, bądź do reprezentowania Wykonawców wspólnie ubiegających się o zamówienie przedłożone w formie oryginału lub kopii poświadczonej przez notariusza.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/>
          <w:bCs/>
          <w:u w:val="single"/>
        </w:rPr>
        <w:t>IX.  Postanowienia  końcowe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1. Do  niniejszej  specyfikacji  </w:t>
      </w:r>
      <w:r>
        <w:rPr>
          <w:rFonts w:ascii="Times New Roman" w:hAnsi="Times New Roman"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późn. zm.).</w:t>
      </w:r>
    </w:p>
    <w:p>
      <w:pPr>
        <w:pStyle w:val="style43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 xml:space="preserve">2. Do niniejszego zamówienia ma zastosowanie przepisy Kodeksu cywilnego (ustawa z dnia </w:t>
        <w:br/>
        <w:t>23 kwietnia 1964r. Kodeks cywilny Dz. U. 1964r. Nr 16 poz. z późn. zm.)</w:t>
      </w:r>
    </w:p>
    <w:p>
      <w:pPr>
        <w:pStyle w:val="style43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>3. Zamawiający zastrzega sobie prawo do unieważnienia postępowania na każdym jego etapie.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bCs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>
      <w:pPr>
        <w:pStyle w:val="style0"/>
        <w:numPr>
          <w:ilvl w:val="2"/>
          <w:numId w:val="2"/>
        </w:numPr>
        <w:tabs>
          <w:tab w:leader="none" w:pos="1636" w:val="left"/>
          <w:tab w:leader="none" w:pos="2836" w:val="left"/>
        </w:tabs>
        <w:spacing w:after="0" w:before="0" w:line="100" w:lineRule="atLeast"/>
        <w:ind w:hanging="1276" w:left="1276" w:right="0"/>
        <w:contextualSpacing w:val="false"/>
        <w:jc w:val="both"/>
      </w:pPr>
      <w:r>
        <w:rPr>
          <w:rFonts w:ascii="Times New Roman" w:hAnsi="Times New Roman"/>
        </w:rPr>
        <w:t>Dyrektor Zespołu Szkół w Gałkowie Dużym- Pani Krystyna Warczyk lub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  <w:t>2)   Pani Joanna Węderska;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3)   Informacje udzielane są w godzinach 8.00-15.00 pod nr tel. 44 714 58 43;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>
      <w:pPr>
        <w:pStyle w:val="style0"/>
        <w:numPr>
          <w:ilvl w:val="0"/>
          <w:numId w:val="3"/>
        </w:numPr>
        <w:tabs>
          <w:tab w:leader="none" w:pos="0" w:val="left"/>
        </w:tabs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Formularz ofertowy,  </w:t>
      </w:r>
    </w:p>
    <w:p>
      <w:pPr>
        <w:pStyle w:val="style57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58"/>
      </w:pPr>
      <w:r>
        <w:rPr>
          <w:rFonts w:ascii="Times New Roman" w:cs="Times New Roman" w:hAnsi="Times New Roman"/>
          <w:sz w:val="22"/>
          <w:szCs w:val="22"/>
        </w:rPr>
        <w:t>W przypadku wybrania Państwa oferty zostaną Państwo poinformowani o terminie przeprowadzenia negocjacji lub podpisania umowy.</w:t>
      </w:r>
    </w:p>
    <w:p>
      <w:pPr>
        <w:pStyle w:val="style0"/>
        <w:jc w:val="right"/>
      </w:pPr>
      <w:r>
        <w:rPr>
          <w:rFonts w:ascii="Times New Roman" w:hAnsi="Times New Roman"/>
        </w:rPr>
      </w:r>
    </w:p>
    <w:p>
      <w:pPr>
        <w:pStyle w:val="style0"/>
        <w:jc w:val="right"/>
      </w:pPr>
      <w:r>
        <w:rPr>
          <w:rFonts w:ascii="Times New Roman" w:hAnsi="Times New Roman"/>
          <w:i/>
        </w:rPr>
        <w:t>Dyrektor Zespołu Szkół w Gałkowie Dużym</w:t>
      </w:r>
    </w:p>
    <w:p>
      <w:pPr>
        <w:pStyle w:val="style0"/>
        <w:jc w:val="right"/>
      </w:pPr>
      <w:r>
        <w:rPr>
          <w:rFonts w:ascii="Times New Roman" w:hAnsi="Times New Roman"/>
          <w:i/>
        </w:rPr>
        <w:t>Krystyna Warczyk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  <w:spacing w:after="200" w:before="0"/>
        <w:contextualSpacing w:val="false"/>
      </w:pPr>
      <w:r>
        <w:rPr/>
      </w:r>
    </w:p>
    <w:sectPr>
      <w:headerReference r:id="rId2" w:type="default"/>
      <w:footerReference r:id="rId4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431.95pt;height:42.7pt" type="shapetype_75">
        <v:fill detectmouseclick="t" r:id="rId3"/>
        <v:wrap v:type="none"/>
        <v:stroke color="#3465af" endcap="flat" joinstyle="round"/>
      </v:shape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pStyle w:val="style48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7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ków , tel./fax (44) 714 58 43, e-mail: zs.galkow@koluszki.pl</w:t>
    </w:r>
  </w:p>
  <w:p>
    <w:pPr>
      <w:pStyle w:val="style47"/>
      <w:tabs>
        <w:tab w:leader="none" w:pos="1300" w:val="left"/>
      </w:tabs>
    </w:pPr>
    <w:r>
      <w:rPr>
        <w:rFonts w:ascii="Arial Rounded MT Bold" w:hAnsi="Arial Rounded MT Bold"/>
        <w:sz w:val="12"/>
        <w:szCs w:val="12"/>
      </w:rPr>
    </w:r>
  </w:p>
  <w:p>
    <w:pPr>
      <w:pStyle w:val="style48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spacing w:after="200" w:before="120"/>
      <w:contextualSpacing w:val="false"/>
    </w:pPr>
    <w:r>
      <w:rPr>
        <w:pict/>
      </w:rPr>
    </w:r>
  </w:p>
  <w:p>
    <w:pPr>
      <w:pStyle w:val="style47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„Akademia mądrego człowieka” współfinansowany ze środków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6"/>
      <w:numFmt w:val="lowerLetter"/>
      <w:lvlText w:val="%1"/>
      <w:lvlJc w:val="left"/>
      <w:pPr>
        <w:ind w:hanging="360" w:left="720"/>
      </w:pPr>
      <w:rPr/>
    </w:lvl>
    <w:lvl w:ilvl="1">
      <w:start w:val="1"/>
      <w:numFmt w:val="decimal"/>
      <w:lvlText w:val="%2"/>
      <w:lvlJc w:val="left"/>
      <w:pPr>
        <w:ind w:hanging="360" w:left="1440"/>
      </w:pPr>
      <w:rPr/>
    </w:lvl>
    <w:lvl w:ilvl="2">
      <w:start w:val="1"/>
      <w:numFmt w:val="decimal"/>
      <w:lvlText w:val="%3"/>
      <w:lvlJc w:val="left"/>
      <w:pPr>
        <w:ind w:hanging="360" w:left="2340"/>
      </w:pPr>
      <w:rPr/>
    </w:lvl>
    <w:lvl w:ilvl="3">
      <w:start w:val="1"/>
      <w:numFmt w:val="decimal"/>
      <w:lvlText w:val="%4"/>
      <w:lvlJc w:val="left"/>
      <w:pPr>
        <w:ind w:hanging="360" w:left="2880"/>
      </w:pPr>
      <w:rPr/>
    </w:lvl>
    <w:lvl w:ilvl="4">
      <w:start w:val="1"/>
      <w:numFmt w:val="decimal"/>
      <w:lvlText w:val="%5"/>
      <w:lvlJc w:val="left"/>
      <w:pPr>
        <w:ind w:hanging="360" w:left="3600"/>
      </w:pPr>
      <w:rPr/>
    </w:lvl>
    <w:lvl w:ilvl="5">
      <w:start w:val="1"/>
      <w:numFmt w:val="decimal"/>
      <w:lvlText w:val="%6"/>
      <w:lvlJc w:val="left"/>
      <w:pPr>
        <w:ind w:hanging="360" w:left="4320"/>
      </w:pPr>
      <w:rPr/>
    </w:lvl>
    <w:lvl w:ilvl="6">
      <w:start w:val="1"/>
      <w:numFmt w:val="decimal"/>
      <w:lvlText w:val="%7"/>
      <w:lvlJc w:val="left"/>
      <w:pPr>
        <w:ind w:hanging="360" w:left="5040"/>
      </w:pPr>
      <w:rPr/>
    </w:lvl>
    <w:lvl w:ilvl="7">
      <w:start w:val="1"/>
      <w:numFmt w:val="decimal"/>
      <w:lvlText w:val="%8"/>
      <w:lvlJc w:val="left"/>
      <w:pPr>
        <w:ind w:hanging="360" w:left="5760"/>
      </w:pPr>
      <w:rPr/>
    </w:lvl>
    <w:lvl w:ilvl="8">
      <w:start w:val="1"/>
      <w:numFmt w:val="decimal"/>
      <w:lvlText w:val="%9"/>
      <w:lvlJc w:val="left"/>
      <w:pPr>
        <w:ind w:hanging="360" w:left="64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  <w:rPr/>
    </w:lvl>
    <w:lvl w:ilvl="1">
      <w:start w:val="1"/>
      <w:numFmt w:val="decimal"/>
      <w:lvlText w:val="%2"/>
      <w:lvlJc w:val="left"/>
      <w:pPr>
        <w:ind w:hanging="360" w:left="1440"/>
      </w:pPr>
      <w:rPr/>
    </w:lvl>
    <w:lvl w:ilvl="2">
      <w:start w:val="1"/>
      <w:numFmt w:val="decimal"/>
      <w:lvlText w:val="%3"/>
      <w:lvlJc w:val="left"/>
      <w:pPr>
        <w:ind w:hanging="360" w:left="2160"/>
      </w:pPr>
      <w:rPr/>
    </w:lvl>
    <w:lvl w:ilvl="3">
      <w:start w:val="1"/>
      <w:numFmt w:val="decimal"/>
      <w:lvlText w:val="%4"/>
      <w:lvlJc w:val="left"/>
      <w:pPr>
        <w:ind w:hanging="360" w:left="2880"/>
      </w:pPr>
      <w:rPr/>
    </w:lvl>
    <w:lvl w:ilvl="4">
      <w:start w:val="1"/>
      <w:numFmt w:val="decimal"/>
      <w:lvlText w:val="%5"/>
      <w:lvlJc w:val="left"/>
      <w:pPr>
        <w:ind w:hanging="360" w:left="3600"/>
      </w:pPr>
      <w:rPr/>
    </w:lvl>
    <w:lvl w:ilvl="5">
      <w:start w:val="1"/>
      <w:numFmt w:val="decimal"/>
      <w:lvlText w:val="%6"/>
      <w:lvlJc w:val="left"/>
      <w:pPr>
        <w:ind w:hanging="360" w:left="4320"/>
      </w:pPr>
      <w:rPr/>
    </w:lvl>
    <w:lvl w:ilvl="6">
      <w:start w:val="1"/>
      <w:numFmt w:val="decimal"/>
      <w:lvlText w:val="%7"/>
      <w:lvlJc w:val="left"/>
      <w:pPr>
        <w:ind w:hanging="360" w:left="5040"/>
      </w:pPr>
      <w:rPr/>
    </w:lvl>
    <w:lvl w:ilvl="7">
      <w:start w:val="1"/>
      <w:numFmt w:val="decimal"/>
      <w:lvlText w:val="%8"/>
      <w:lvlJc w:val="left"/>
      <w:pPr>
        <w:ind w:hanging="360" w:left="5760"/>
      </w:pPr>
      <w:rPr/>
    </w:lvl>
    <w:lvl w:ilvl="8">
      <w:start w:val="1"/>
      <w:numFmt w:val="decimal"/>
      <w:lvlText w:val="%9"/>
      <w:lvlJc w:val="left"/>
      <w:pPr>
        <w:ind w:hanging="360" w:left="6480"/>
      </w:pPr>
      <w:rPr/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  <w:sz w:val="22"/>
        <w:u w:val="none"/>
        <w:b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  <w:outlineLvl w:val="0"/>
    </w:pPr>
    <w:rPr>
      <w:sz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libri" w:cs="Times New Roman" w:hAnsi="Calibri"/>
      <w:sz w:val="28"/>
      <w:lang w:bidi="ar-SA" w:eastAsia="ar-SA"/>
    </w:rPr>
  </w:style>
  <w:style w:styleId="style17" w:type="character">
    <w:name w:val="Heading 3 Char"/>
    <w:basedOn w:val="style15"/>
    <w:next w:val="style17"/>
    <w:rPr>
      <w:rFonts w:ascii="Cambria" w:cs="Times New Roman" w:hAnsi="Cambria"/>
      <w:b/>
      <w:bCs/>
      <w:sz w:val="26"/>
      <w:szCs w:val="26"/>
      <w:lang w:eastAsia="en-US"/>
    </w:rPr>
  </w:style>
  <w:style w:styleId="style18" w:type="character">
    <w:name w:val="Heading 4 Char"/>
    <w:basedOn w:val="style15"/>
    <w:next w:val="style18"/>
    <w:rPr>
      <w:rFonts w:ascii="Calibri" w:cs="Times New Roman" w:hAnsi="Calibri"/>
      <w:b/>
      <w:bCs/>
      <w:sz w:val="28"/>
      <w:szCs w:val="28"/>
      <w:lang w:eastAsia="en-US"/>
    </w:rPr>
  </w:style>
  <w:style w:styleId="style19" w:type="character">
    <w:name w:val="Heading 9 Char"/>
    <w:basedOn w:val="style15"/>
    <w:next w:val="style19"/>
    <w:rPr>
      <w:rFonts w:ascii="Cambria" w:cs="Times New Roman" w:hAnsi="Cambria"/>
      <w:lang w:eastAsia="en-US"/>
    </w:rPr>
  </w:style>
  <w:style w:styleId="style20" w:type="character">
    <w:name w:val="Header Char"/>
    <w:basedOn w:val="style15"/>
    <w:next w:val="style20"/>
    <w:rPr>
      <w:rFonts w:cs="Times New Roman"/>
      <w:sz w:val="24"/>
    </w:rPr>
  </w:style>
  <w:style w:styleId="style21" w:type="character">
    <w:name w:val="Footer Char"/>
    <w:basedOn w:val="style15"/>
    <w:next w:val="style21"/>
    <w:rPr>
      <w:rFonts w:ascii="Calibri" w:cs="Times New Roman" w:hAnsi="Calibri"/>
      <w:lang w:eastAsia="en-US"/>
    </w:rPr>
  </w:style>
  <w:style w:styleId="style22" w:type="character">
    <w:name w:val="Body Text Char"/>
    <w:basedOn w:val="style15"/>
    <w:next w:val="style22"/>
    <w:rPr>
      <w:rFonts w:ascii="Calibri" w:cs="Times New Roman" w:hAnsi="Calibri"/>
      <w:lang w:eastAsia="en-US"/>
    </w:rPr>
  </w:style>
  <w:style w:styleId="style23" w:type="character">
    <w:name w:val="Body Text Indent Char"/>
    <w:basedOn w:val="style15"/>
    <w:next w:val="style23"/>
    <w:rPr>
      <w:rFonts w:ascii="Calibri" w:cs="Times New Roman" w:hAnsi="Calibri"/>
      <w:lang w:eastAsia="en-US"/>
    </w:rPr>
  </w:style>
  <w:style w:styleId="style24" w:type="character">
    <w:name w:val="Body Text 2 Char"/>
    <w:basedOn w:val="style15"/>
    <w:next w:val="style24"/>
    <w:rPr>
      <w:rFonts w:ascii="Calibri" w:cs="Times New Roman" w:hAnsi="Calibri"/>
      <w:lang w:eastAsia="en-US"/>
    </w:rPr>
  </w:style>
  <w:style w:styleId="style25" w:type="character">
    <w:name w:val="Łącze internetowe"/>
    <w:basedOn w:val="style15"/>
    <w:next w:val="style25"/>
    <w:rPr>
      <w:rFonts w:cs="Times New Roman"/>
      <w:color w:val="0000FF"/>
      <w:u w:val="single"/>
      <w:lang w:bidi="zxx-" w:eastAsia="zxx-" w:val="zxx-"/>
    </w:rPr>
  </w:style>
  <w:style w:styleId="style26" w:type="character">
    <w:name w:val="Endnote Text Char"/>
    <w:basedOn w:val="style15"/>
    <w:next w:val="style26"/>
    <w:rPr>
      <w:rFonts w:cs="Times New Roman"/>
    </w:rPr>
  </w:style>
  <w:style w:styleId="style27" w:type="character">
    <w:name w:val="endnote reference"/>
    <w:basedOn w:val="style15"/>
    <w:next w:val="style27"/>
    <w:rPr>
      <w:rFonts w:cs="Times New Roman"/>
      <w:vertAlign w:val="superscript"/>
    </w:rPr>
  </w:style>
  <w:style w:styleId="style28" w:type="character">
    <w:name w:val="Footnote Text Char"/>
    <w:basedOn w:val="style15"/>
    <w:next w:val="style28"/>
    <w:rPr>
      <w:rFonts w:cs="Times New Roman"/>
    </w:rPr>
  </w:style>
  <w:style w:styleId="style29" w:type="character">
    <w:name w:val="footnote reference"/>
    <w:basedOn w:val="style15"/>
    <w:next w:val="style29"/>
    <w:rPr>
      <w:rFonts w:cs="Times New Roman"/>
      <w:vertAlign w:val="superscript"/>
    </w:rPr>
  </w:style>
  <w:style w:styleId="style30" w:type="character">
    <w:name w:val="page number"/>
    <w:basedOn w:val="style15"/>
    <w:next w:val="style30"/>
    <w:rPr>
      <w:rFonts w:cs="Times New Roman"/>
    </w:rPr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>
      <w:rFonts w:cs="Times New Roman"/>
    </w:rPr>
  </w:style>
  <w:style w:styleId="style33" w:type="character">
    <w:name w:val="apple-converted-space"/>
    <w:basedOn w:val="style15"/>
    <w:next w:val="style33"/>
    <w:rPr>
      <w:rFonts w:cs="Times New Roman"/>
    </w:rPr>
  </w:style>
  <w:style w:styleId="style34" w:type="character">
    <w:name w:val="Mocno wyróżniony"/>
    <w:basedOn w:val="style15"/>
    <w:next w:val="style34"/>
    <w:rPr>
      <w:rFonts w:cs="Times New Roman"/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ListLabel 1"/>
    <w:next w:val="style36"/>
    <w:rPr>
      <w:rFonts w:cs="Times New Roman"/>
    </w:rPr>
  </w:style>
  <w:style w:styleId="style37" w:type="character">
    <w:name w:val="ListLabel 2"/>
    <w:next w:val="style37"/>
    <w:rPr>
      <w:rFonts w:cs="Times New Roman"/>
      <w:color w:val="00000A"/>
      <w:sz w:val="24"/>
      <w:szCs w:val="24"/>
    </w:rPr>
  </w:style>
  <w:style w:styleId="style38" w:type="character">
    <w:name w:val="ListLabel 3"/>
    <w:next w:val="style38"/>
    <w:rPr>
      <w:color w:val="000000"/>
      <w:sz w:val="22"/>
    </w:rPr>
  </w:style>
  <w:style w:styleId="style39" w:type="character">
    <w:name w:val="ListLabel 4"/>
    <w:next w:val="style39"/>
    <w:rPr>
      <w:rFonts w:cs="Arial" w:eastAsia="Times New Roman"/>
      <w:b w:val="false"/>
      <w:i w:val="false"/>
      <w:color w:val="000000"/>
      <w:sz w:val="22"/>
      <w:szCs w:val="22"/>
    </w:rPr>
  </w:style>
  <w:style w:styleId="style40" w:type="character">
    <w:name w:val="ListLabel 5"/>
    <w:next w:val="style40"/>
    <w:rPr>
      <w:b w:val="false"/>
      <w:sz w:val="22"/>
      <w:u w:val="none"/>
    </w:rPr>
  </w:style>
  <w:style w:styleId="style41" w:type="character">
    <w:name w:val="ListLabel 6"/>
    <w:next w:val="style41"/>
    <w:rPr>
      <w:rFonts w:cs="Times New Roman"/>
      <w:b/>
    </w:rPr>
  </w:style>
  <w:style w:styleId="style42" w:type="paragraph">
    <w:name w:val="Nagłówek"/>
    <w:basedOn w:val="style0"/>
    <w:next w:val="style4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" w:type="paragraph">
    <w:name w:val="Treść tekstu"/>
    <w:basedOn w:val="style0"/>
    <w:next w:val="style43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44" w:type="paragraph">
    <w:name w:val="Lista"/>
    <w:basedOn w:val="style43"/>
    <w:next w:val="style44"/>
    <w:pPr/>
    <w:rPr>
      <w:rFonts w:cs="Mangal"/>
    </w:rPr>
  </w:style>
  <w:style w:styleId="style45" w:type="paragraph">
    <w:name w:val="Podpis"/>
    <w:basedOn w:val="style0"/>
    <w:next w:val="style4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6" w:type="paragraph">
    <w:name w:val="Indeks"/>
    <w:basedOn w:val="style0"/>
    <w:next w:val="style46"/>
    <w:pPr>
      <w:suppressLineNumbers/>
    </w:pPr>
    <w:rPr>
      <w:rFonts w:cs="Mangal"/>
    </w:rPr>
  </w:style>
  <w:style w:styleId="style47" w:type="paragraph">
    <w:name w:val="Główka"/>
    <w:basedOn w:val="style0"/>
    <w:next w:val="style47"/>
    <w:pPr>
      <w:tabs>
        <w:tab w:leader="none" w:pos="4536" w:val="center"/>
        <w:tab w:leader="none" w:pos="9072" w:val="right"/>
      </w:tabs>
    </w:pPr>
    <w:rPr>
      <w:rFonts w:ascii="Times New Roman" w:hAnsi="Times New Roman"/>
      <w:sz w:val="24"/>
      <w:szCs w:val="24"/>
      <w:lang w:eastAsia="pl-PL"/>
    </w:rPr>
  </w:style>
  <w:style w:styleId="style48" w:type="paragraph">
    <w:name w:val="Stopka"/>
    <w:basedOn w:val="style0"/>
    <w:next w:val="style48"/>
    <w:pPr>
      <w:tabs>
        <w:tab w:leader="none" w:pos="4536" w:val="center"/>
        <w:tab w:leader="none" w:pos="9072" w:val="right"/>
      </w:tabs>
    </w:pPr>
    <w:rPr/>
  </w:style>
  <w:style w:styleId="style49" w:type="paragraph">
    <w:name w:val="Normal (Web)"/>
    <w:basedOn w:val="style0"/>
    <w:next w:val="style49"/>
    <w:pPr>
      <w:spacing w:after="119" w:before="28"/>
      <w:contextualSpacing w:val="false"/>
    </w:pPr>
    <w:rPr/>
  </w:style>
  <w:style w:styleId="style50" w:type="paragraph">
    <w:name w:val="Wcięcie treści tekstu"/>
    <w:basedOn w:val="style0"/>
    <w:next w:val="style50"/>
    <w:pPr>
      <w:spacing w:after="120" w:before="0"/>
      <w:ind w:hanging="0" w:left="283" w:right="0"/>
      <w:contextualSpacing w:val="false"/>
    </w:pPr>
    <w:rPr/>
  </w:style>
  <w:style w:styleId="style51" w:type="paragraph">
    <w:name w:val="Body Text 2"/>
    <w:basedOn w:val="style0"/>
    <w:next w:val="style51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2" w:type="paragraph">
    <w:name w:val="Zawartość tabeli"/>
    <w:basedOn w:val="style0"/>
    <w:next w:val="style52"/>
    <w:pPr>
      <w:suppressLineNumbers/>
      <w:suppressAutoHyphens w:val="true"/>
    </w:pPr>
    <w:rPr>
      <w:rFonts w:ascii="Arial" w:hAnsi="Arial"/>
      <w:lang w:eastAsia="ar-SA"/>
    </w:rPr>
  </w:style>
  <w:style w:styleId="style53" w:type="paragraph">
    <w:name w:val="endnote text"/>
    <w:basedOn w:val="style0"/>
    <w:next w:val="style53"/>
    <w:pPr/>
    <w:rPr>
      <w:sz w:val="20"/>
      <w:szCs w:val="20"/>
    </w:rPr>
  </w:style>
  <w:style w:styleId="style54" w:type="paragraph">
    <w:name w:val="footnote text"/>
    <w:basedOn w:val="style0"/>
    <w:next w:val="style54"/>
    <w:pPr/>
    <w:rPr>
      <w:sz w:val="20"/>
      <w:szCs w:val="20"/>
    </w:rPr>
  </w:style>
  <w:style w:styleId="style55" w:type="paragraph">
    <w:name w:val="Normalny (Web)1"/>
    <w:basedOn w:val="style0"/>
    <w:next w:val="style55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56" w:type="paragraph">
    <w:name w:val="Z7 - W1 - myślniki"/>
    <w:next w:val="style56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7" w:type="paragraph">
    <w:name w:val="Z - podpis pod kropkami"/>
    <w:next w:val="style57"/>
    <w:pPr>
      <w:widowControl w:val="false"/>
      <w:tabs>
        <w:tab w:leader="none" w:pos="4536" w:val="center"/>
      </w:tabs>
      <w:suppressAutoHyphens w:val="true"/>
      <w:spacing w:line="150" w:lineRule="atLeast"/>
    </w:pPr>
    <w:rPr>
      <w:rFonts w:ascii="Arial" w:cs="Arial" w:eastAsia="Times New Roman" w:hAnsi="Arial"/>
      <w:color w:val="auto"/>
      <w:sz w:val="16"/>
      <w:szCs w:val="16"/>
      <w:lang w:bidi="ar-SA" w:eastAsia="pl-PL" w:val="pl-PL"/>
    </w:rPr>
  </w:style>
  <w:style w:styleId="style58" w:type="paragraph">
    <w:name w:val="Z4 - Tekst - środkowy"/>
    <w:next w:val="style58"/>
    <w:pPr>
      <w:widowControl w:val="false"/>
      <w:tabs>
        <w:tab w:leader="dot" w:pos="9072" w:val="right"/>
      </w:tabs>
      <w:suppressAutoHyphens w:val="true"/>
      <w:spacing w:after="57" w:before="0" w:line="235" w:lineRule="atLeast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9" w:type="paragraph">
    <w:name w:val="Z1 - Zał. do zarządzenia z dnia"/>
    <w:next w:val="style59"/>
    <w:pPr>
      <w:widowControl w:val="false"/>
      <w:tabs>
        <w:tab w:leader="dot" w:pos="2183" w:val="left"/>
        <w:tab w:leader="dot" w:pos="4450" w:val="left"/>
        <w:tab w:leader="dot" w:pos="7087" w:val="right"/>
      </w:tabs>
      <w:suppressAutoHyphens w:val="true"/>
      <w:spacing w:after="142" w:before="0" w:line="235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60" w:type="paragraph">
    <w:name w:val="Z1 - Tytuł załącznika"/>
    <w:next w:val="style60"/>
    <w:pPr>
      <w:keepNext/>
      <w:widowControl w:val="false"/>
      <w:tabs>
        <w:tab w:leader="dot" w:pos="9072" w:val="right"/>
      </w:tabs>
      <w:suppressAutoHyphens w:val="true"/>
      <w:spacing w:line="240" w:lineRule="atLeast"/>
      <w:jc w:val="center"/>
    </w:pPr>
    <w:rPr>
      <w:rFonts w:ascii="Arial" w:cs="Arial" w:eastAsia="Times New Roman" w:hAnsi="Arial"/>
      <w:b/>
      <w:bCs/>
      <w:color w:val="auto"/>
      <w:sz w:val="22"/>
      <w:szCs w:val="22"/>
      <w:lang w:bidi="ar-SA" w:eastAsia="pl-PL" w:val="pl-PL"/>
    </w:rPr>
  </w:style>
  <w:style w:styleId="style61" w:type="paragraph">
    <w:name w:val="List Paragraph"/>
    <w:basedOn w:val="style0"/>
    <w:next w:val="style61"/>
    <w:pPr>
      <w:suppressAutoHyphens w:val="true"/>
      <w:spacing w:after="0" w:before="0" w:line="100" w:lineRule="atLeast"/>
      <w:ind w:hanging="0" w:left="720" w:right="0"/>
      <w:contextualSpacing/>
    </w:pPr>
    <w:rPr>
      <w:rFonts w:ascii="Times New Roman" w:hAnsi="Times New Roman"/>
      <w:sz w:val="24"/>
      <w:szCs w:val="24"/>
      <w:lang w:eastAsia="ar-SA"/>
    </w:rPr>
  </w:style>
  <w:style w:styleId="style62" w:type="paragraph">
    <w:name w:val="Akapit z listą1"/>
    <w:basedOn w:val="style0"/>
    <w:next w:val="style62"/>
    <w:pPr>
      <w:suppressAutoHyphens w:val="true"/>
      <w:spacing w:after="0" w:before="0" w:line="100" w:lineRule="atLeast"/>
      <w:ind w:hanging="0" w:left="720" w:right="0"/>
      <w:contextualSpacing/>
    </w:pPr>
    <w:rPr>
      <w:rFonts w:ascii="Times New Roman" w:hAnsi="Times New Roman"/>
      <w:sz w:val="24"/>
      <w:szCs w:val="24"/>
      <w:lang w:eastAsia="ar-SA"/>
    </w:rPr>
  </w:style>
  <w:style w:styleId="style63" w:type="paragraph">
    <w:name w:val="Default"/>
    <w:next w:val="style63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en-US" w:val="pl-PL"/>
    </w:rPr>
  </w:style>
  <w:style w:styleId="style64" w:type="paragraph">
    <w:name w:val="Zawartość ramki"/>
    <w:basedOn w:val="style43"/>
    <w:next w:val="style6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2014-09-22T16:14:00.00Z</dcterms:created>
  <dc:creator>Przedszkole</dc:creator>
  <cp:lastModifiedBy>Iza</cp:lastModifiedBy>
  <cp:lastPrinted>2014-06-02T06:53:00.00Z</cp:lastPrinted>
  <dcterms:modified xsi:type="dcterms:W3CDTF">2014-12-09T21:00:00.00Z</dcterms:modified>
  <cp:revision>19</cp:revision>
  <dc:title>REGULAMIN PROJEKTU</dc:title>
</cp:coreProperties>
</file>